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D0" w:rsidRDefault="00002DD0" w:rsidP="00FA439D">
      <w:pPr>
        <w:jc w:val="center"/>
      </w:pPr>
    </w:p>
    <w:p w:rsidR="00FA439D" w:rsidRDefault="00FA439D" w:rsidP="00FA439D">
      <w:pPr>
        <w:jc w:val="center"/>
      </w:pPr>
    </w:p>
    <w:tbl>
      <w:tblPr>
        <w:tblW w:w="5001" w:type="pct"/>
        <w:tblCellMar>
          <w:top w:w="15" w:type="dxa"/>
          <w:left w:w="15" w:type="dxa"/>
          <w:bottom w:w="15" w:type="dxa"/>
          <w:right w:w="15" w:type="dxa"/>
        </w:tblCellMar>
        <w:tblLook w:val="04A0" w:firstRow="1" w:lastRow="0" w:firstColumn="1" w:lastColumn="0" w:noHBand="0" w:noVBand="1"/>
      </w:tblPr>
      <w:tblGrid>
        <w:gridCol w:w="9671"/>
      </w:tblGrid>
      <w:tr w:rsidR="003241B7" w:rsidRPr="003241B7" w:rsidTr="0072648A">
        <w:trPr>
          <w:trHeight w:val="1045"/>
        </w:trPr>
        <w:tc>
          <w:tcPr>
            <w:tcW w:w="5000" w:type="pct"/>
            <w:hideMark/>
          </w:tcPr>
          <w:p w:rsidR="003241B7" w:rsidRPr="003241B7" w:rsidRDefault="003241B7" w:rsidP="003241B7">
            <w:pPr>
              <w:jc w:val="center"/>
              <w:rPr>
                <w:rFonts w:ascii="Arial" w:hAnsi="Arial" w:cs="Arial"/>
                <w:b/>
                <w:bCs/>
                <w:sz w:val="32"/>
                <w:szCs w:val="32"/>
                <w:lang w:eastAsia="ro-RO"/>
              </w:rPr>
            </w:pPr>
            <w:r w:rsidRPr="003241B7">
              <w:rPr>
                <w:rFonts w:ascii="Arial" w:hAnsi="Arial" w:cs="Arial"/>
                <w:b/>
                <w:bCs/>
                <w:sz w:val="32"/>
                <w:szCs w:val="32"/>
                <w:lang w:eastAsia="ro-RO"/>
              </w:rPr>
              <w:t>Hotărâre nr. 965/2013</w:t>
            </w:r>
          </w:p>
          <w:p w:rsidR="003241B7" w:rsidRPr="003241B7" w:rsidRDefault="003241B7" w:rsidP="003241B7">
            <w:pPr>
              <w:jc w:val="center"/>
              <w:rPr>
                <w:rFonts w:ascii="Arial" w:hAnsi="Arial" w:cs="Arial"/>
                <w:i/>
                <w:iCs/>
                <w:sz w:val="16"/>
                <w:szCs w:val="16"/>
                <w:lang w:eastAsia="ro-RO"/>
              </w:rPr>
            </w:pPr>
            <w:r w:rsidRPr="003241B7">
              <w:rPr>
                <w:rFonts w:ascii="Arial" w:hAnsi="Arial" w:cs="Arial"/>
                <w:i/>
                <w:iCs/>
                <w:sz w:val="16"/>
                <w:szCs w:val="16"/>
                <w:lang w:eastAsia="ro-RO"/>
              </w:rPr>
              <w:t>din 11/12/2013</w:t>
            </w:r>
          </w:p>
          <w:p w:rsidR="003241B7" w:rsidRPr="003241B7" w:rsidRDefault="003241B7" w:rsidP="003241B7">
            <w:pPr>
              <w:jc w:val="center"/>
              <w:rPr>
                <w:rFonts w:ascii="Arial" w:hAnsi="Arial" w:cs="Arial"/>
                <w:lang w:eastAsia="ro-RO"/>
              </w:rPr>
            </w:pPr>
            <w:r w:rsidRPr="003241B7">
              <w:rPr>
                <w:rFonts w:ascii="Arial" w:hAnsi="Arial" w:cs="Arial"/>
                <w:lang w:eastAsia="ro-RO"/>
              </w:rPr>
              <w:t>Hotărârea nr. 965/2013 pentru stabilirea zilelor de 27 şi 31 decembrie 2013 şi 3 ianuarie 2014 ca zile libere</w:t>
            </w:r>
          </w:p>
          <w:p w:rsidR="003241B7" w:rsidRPr="003241B7" w:rsidRDefault="003241B7" w:rsidP="003241B7">
            <w:pPr>
              <w:rPr>
                <w:rFonts w:ascii="Arial" w:hAnsi="Arial" w:cs="Arial"/>
                <w:lang w:eastAsia="ro-RO"/>
              </w:rPr>
            </w:pPr>
            <w:r w:rsidRPr="003241B7">
              <w:rPr>
                <w:rFonts w:ascii="Arial" w:hAnsi="Arial" w:cs="Arial"/>
                <w:lang w:eastAsia="ro-RO"/>
              </w:rPr>
              <w:t xml:space="preserve">  </w:t>
            </w:r>
          </w:p>
          <w:p w:rsidR="003241B7" w:rsidRPr="003241B7" w:rsidRDefault="003241B7" w:rsidP="003241B7">
            <w:pPr>
              <w:jc w:val="center"/>
              <w:rPr>
                <w:rFonts w:ascii="Arial" w:hAnsi="Arial" w:cs="Arial"/>
                <w:i/>
                <w:iCs/>
                <w:sz w:val="16"/>
                <w:szCs w:val="16"/>
                <w:lang w:eastAsia="ro-RO"/>
              </w:rPr>
            </w:pPr>
            <w:r w:rsidRPr="003241B7">
              <w:rPr>
                <w:rFonts w:ascii="Arial" w:hAnsi="Arial" w:cs="Arial"/>
                <w:i/>
                <w:iCs/>
                <w:sz w:val="16"/>
                <w:szCs w:val="16"/>
                <w:lang w:eastAsia="ro-RO"/>
              </w:rPr>
              <w:t>Publicat in Monitorul Oficial, Partea I nr. 775 din 12/12/2013</w:t>
            </w:r>
          </w:p>
          <w:p w:rsidR="003241B7" w:rsidRPr="003241B7" w:rsidRDefault="003241B7" w:rsidP="003241B7">
            <w:pPr>
              <w:rPr>
                <w:rFonts w:ascii="Arial" w:hAnsi="Arial" w:cs="Arial"/>
                <w:lang w:eastAsia="ro-RO"/>
              </w:rPr>
            </w:pPr>
          </w:p>
          <w:p w:rsidR="003241B7" w:rsidRPr="003241B7" w:rsidRDefault="003241B7" w:rsidP="003241B7">
            <w:pPr>
              <w:rPr>
                <w:rFonts w:ascii="Arial" w:hAnsi="Arial" w:cs="Arial"/>
                <w:lang w:eastAsia="ro-RO"/>
              </w:rPr>
            </w:pPr>
          </w:p>
        </w:tc>
      </w:tr>
    </w:tbl>
    <w:p w:rsidR="003241B7" w:rsidRPr="003241B7" w:rsidRDefault="003241B7" w:rsidP="003241B7">
      <w:pPr>
        <w:rPr>
          <w:rFonts w:ascii="Arial" w:hAnsi="Arial" w:cs="Arial"/>
          <w:lang w:eastAsia="ro-RO"/>
        </w:rPr>
      </w:pPr>
    </w:p>
    <w:p w:rsidR="003241B7" w:rsidRPr="003241B7" w:rsidRDefault="003241B7" w:rsidP="003241B7">
      <w:pPr>
        <w:rPr>
          <w:rFonts w:ascii="Arial" w:hAnsi="Arial" w:cs="Arial"/>
          <w:lang w:eastAsia="ro-RO"/>
        </w:rPr>
      </w:pPr>
      <w:r w:rsidRPr="003241B7">
        <w:rPr>
          <w:rFonts w:ascii="Arial" w:hAnsi="Arial" w:cs="Arial"/>
          <w:i/>
          <w:iCs/>
          <w:lang w:eastAsia="ro-RO"/>
        </w:rPr>
        <w:t xml:space="preserve">    În temeiul </w:t>
      </w:r>
      <w:hyperlink r:id="rId5" w:tooltip="Constituţia 2003 - Parlamentul României" w:history="1">
        <w:r w:rsidRPr="003241B7">
          <w:rPr>
            <w:rFonts w:ascii="Arial" w:hAnsi="Arial" w:cs="Arial"/>
            <w:b/>
            <w:bCs/>
            <w:i/>
            <w:iCs/>
            <w:u w:val="single"/>
            <w:lang w:eastAsia="ro-RO"/>
          </w:rPr>
          <w:t>art. 108</w:t>
        </w:r>
      </w:hyperlink>
      <w:r w:rsidRPr="003241B7">
        <w:rPr>
          <w:rFonts w:ascii="Arial" w:hAnsi="Arial" w:cs="Arial"/>
          <w:i/>
          <w:iCs/>
          <w:lang w:eastAsia="ro-RO"/>
        </w:rPr>
        <w:t xml:space="preserve"> din Constituţia României, republicată, şi al art. 11 </w:t>
      </w:r>
      <w:hyperlink r:id="rId6" w:tooltip="Lege nr. 90/2001 - Parlamentul României" w:history="1">
        <w:r w:rsidRPr="003241B7">
          <w:rPr>
            <w:rFonts w:ascii="Arial" w:hAnsi="Arial" w:cs="Arial"/>
            <w:b/>
            <w:bCs/>
            <w:i/>
            <w:iCs/>
            <w:u w:val="single"/>
            <w:lang w:eastAsia="ro-RO"/>
          </w:rPr>
          <w:t>lit. a)</w:t>
        </w:r>
      </w:hyperlink>
      <w:r w:rsidRPr="003241B7">
        <w:rPr>
          <w:rFonts w:ascii="Arial" w:hAnsi="Arial" w:cs="Arial"/>
          <w:i/>
          <w:iCs/>
          <w:lang w:eastAsia="ro-RO"/>
        </w:rPr>
        <w:t xml:space="preserve"> din Legea nr. 90/2001 privind organizarea şi funcţionarea Guvernului României şi a ministerelor, cu modificările şi completările ulterioare, </w:t>
      </w:r>
    </w:p>
    <w:p w:rsidR="003241B7" w:rsidRPr="003241B7" w:rsidRDefault="003241B7" w:rsidP="003241B7">
      <w:pPr>
        <w:rPr>
          <w:rFonts w:ascii="Arial" w:hAnsi="Arial" w:cs="Arial"/>
          <w:lang w:eastAsia="ro-RO"/>
        </w:rPr>
      </w:pPr>
      <w:bookmarkStart w:id="0" w:name="_GoBack"/>
      <w:bookmarkEnd w:id="0"/>
    </w:p>
    <w:p w:rsidR="003241B7" w:rsidRPr="003241B7" w:rsidRDefault="003241B7" w:rsidP="003241B7">
      <w:pPr>
        <w:rPr>
          <w:rFonts w:ascii="Arial" w:hAnsi="Arial" w:cs="Arial"/>
          <w:lang w:eastAsia="ro-RO"/>
        </w:rPr>
      </w:pPr>
      <w:r w:rsidRPr="003241B7">
        <w:rPr>
          <w:rFonts w:ascii="Arial" w:hAnsi="Arial" w:cs="Arial"/>
          <w:lang w:eastAsia="ro-RO"/>
        </w:rPr>
        <w:t xml:space="preserve">    Guvernul României adoptă prezenta hotărâre. </w:t>
      </w:r>
    </w:p>
    <w:p w:rsidR="003241B7" w:rsidRPr="003241B7" w:rsidRDefault="003241B7" w:rsidP="003241B7">
      <w:pPr>
        <w:rPr>
          <w:rFonts w:ascii="Arial" w:hAnsi="Arial" w:cs="Arial"/>
          <w:lang w:eastAsia="ro-RO"/>
        </w:rPr>
      </w:pPr>
      <w:bookmarkStart w:id="1" w:name="tree#3"/>
      <w:r w:rsidRPr="003241B7">
        <w:rPr>
          <w:rFonts w:ascii="Arial" w:hAnsi="Arial" w:cs="Arial"/>
          <w:b/>
          <w:bCs/>
          <w:lang w:eastAsia="ro-RO"/>
        </w:rPr>
        <w:t>   Art. 1. -</w:t>
      </w:r>
      <w:r w:rsidRPr="003241B7">
        <w:rPr>
          <w:rFonts w:ascii="Arial" w:hAnsi="Arial" w:cs="Arial"/>
          <w:lang w:eastAsia="ro-RO"/>
        </w:rPr>
        <w:t xml:space="preserve"> </w:t>
      </w:r>
      <w:bookmarkStart w:id="2" w:name="tree#4"/>
      <w:bookmarkEnd w:id="1"/>
      <w:r w:rsidRPr="003241B7">
        <w:rPr>
          <w:rFonts w:ascii="Arial" w:hAnsi="Arial" w:cs="Arial"/>
          <w:b/>
          <w:bCs/>
          <w:lang w:eastAsia="ro-RO"/>
        </w:rPr>
        <w:t>(1)</w:t>
      </w:r>
      <w:r w:rsidRPr="003241B7">
        <w:rPr>
          <w:rFonts w:ascii="Arial" w:hAnsi="Arial" w:cs="Arial"/>
          <w:lang w:eastAsia="ro-RO"/>
        </w:rPr>
        <w:t xml:space="preserve"> Pentru salariaţii din sectorul public, zilele de 27 şi 31 decembrie 2013 şi 3 ianuarie 2014 se stabilesc ca zile libere. </w:t>
      </w:r>
    </w:p>
    <w:p w:rsidR="003241B7" w:rsidRPr="003241B7" w:rsidRDefault="003241B7" w:rsidP="003241B7">
      <w:pPr>
        <w:rPr>
          <w:rFonts w:ascii="Arial" w:hAnsi="Arial" w:cs="Arial"/>
          <w:lang w:eastAsia="ro-RO"/>
        </w:rPr>
      </w:pPr>
      <w:bookmarkStart w:id="3" w:name="tree#5"/>
      <w:bookmarkEnd w:id="2"/>
      <w:r w:rsidRPr="003241B7">
        <w:rPr>
          <w:rFonts w:ascii="Arial" w:hAnsi="Arial" w:cs="Arial"/>
          <w:b/>
          <w:bCs/>
          <w:lang w:eastAsia="ro-RO"/>
        </w:rPr>
        <w:t>   (2)</w:t>
      </w:r>
      <w:r w:rsidRPr="003241B7">
        <w:rPr>
          <w:rFonts w:ascii="Arial" w:hAnsi="Arial" w:cs="Arial"/>
          <w:lang w:eastAsia="ro-RO"/>
        </w:rPr>
        <w:t xml:space="preserve"> Pentru zilele stabilite ca zile libere în luna decembrie 2013 potrivit alin. (1), instituţiile publice îşi vor desfăşura activitatea în regim de program normal în zilele de 14 şi 21 decembrie 2013 sau vor prelungi corespunzător timpul de lucru, până la data de 24 decembrie 2013, potrivit planificărilor stabilite. </w:t>
      </w:r>
    </w:p>
    <w:p w:rsidR="003241B7" w:rsidRPr="003241B7" w:rsidRDefault="003241B7" w:rsidP="003241B7">
      <w:pPr>
        <w:rPr>
          <w:rFonts w:ascii="Arial" w:hAnsi="Arial" w:cs="Arial"/>
          <w:lang w:eastAsia="ro-RO"/>
        </w:rPr>
      </w:pPr>
      <w:bookmarkStart w:id="4" w:name="tree#6"/>
      <w:bookmarkEnd w:id="3"/>
      <w:r w:rsidRPr="003241B7">
        <w:rPr>
          <w:rFonts w:ascii="Arial" w:hAnsi="Arial" w:cs="Arial"/>
          <w:b/>
          <w:bCs/>
          <w:lang w:eastAsia="ro-RO"/>
        </w:rPr>
        <w:t>   (3)</w:t>
      </w:r>
      <w:r w:rsidRPr="003241B7">
        <w:rPr>
          <w:rFonts w:ascii="Arial" w:hAnsi="Arial" w:cs="Arial"/>
          <w:lang w:eastAsia="ro-RO"/>
        </w:rPr>
        <w:t xml:space="preserve"> Pentru ziua stabilită ca zi liberă în luna ianuarie 2014 potrivit alin. (1), instituţiile publice îşi vor desfăşura activitatea în regim de program normal în ziua de 11 ianuarie 2014 sau vor prelungi corespunzător timpul de lucru, până la data de 31 ianuarie 2014, potrivit planificărilor stabilite. </w:t>
      </w:r>
    </w:p>
    <w:p w:rsidR="003241B7" w:rsidRPr="003241B7" w:rsidRDefault="003241B7" w:rsidP="003241B7">
      <w:pPr>
        <w:rPr>
          <w:rFonts w:ascii="Arial" w:hAnsi="Arial" w:cs="Arial"/>
          <w:lang w:eastAsia="ro-RO"/>
        </w:rPr>
      </w:pPr>
      <w:bookmarkStart w:id="5" w:name="tree#7"/>
      <w:bookmarkEnd w:id="4"/>
      <w:r w:rsidRPr="003241B7">
        <w:rPr>
          <w:rFonts w:ascii="Arial" w:hAnsi="Arial" w:cs="Arial"/>
          <w:b/>
          <w:bCs/>
          <w:lang w:eastAsia="ro-RO"/>
        </w:rPr>
        <w:t>   (4)</w:t>
      </w:r>
      <w:r w:rsidRPr="003241B7">
        <w:rPr>
          <w:rFonts w:ascii="Arial" w:hAnsi="Arial" w:cs="Arial"/>
          <w:lang w:eastAsia="ro-RO"/>
        </w:rPr>
        <w:t xml:space="preserve"> Prestarea muncii potrivit alin. (2) şi (3) nu conferă acordarea de timp liber corespunzător. </w:t>
      </w:r>
    </w:p>
    <w:p w:rsidR="003241B7" w:rsidRPr="003241B7" w:rsidRDefault="003241B7" w:rsidP="003241B7">
      <w:pPr>
        <w:rPr>
          <w:rFonts w:ascii="Arial" w:hAnsi="Arial" w:cs="Arial"/>
          <w:lang w:eastAsia="ro-RO"/>
        </w:rPr>
      </w:pPr>
      <w:bookmarkStart w:id="6" w:name="tree#8"/>
      <w:bookmarkEnd w:id="5"/>
      <w:r w:rsidRPr="003241B7">
        <w:rPr>
          <w:rFonts w:ascii="Arial" w:hAnsi="Arial" w:cs="Arial"/>
          <w:b/>
          <w:bCs/>
          <w:lang w:eastAsia="ro-RO"/>
        </w:rPr>
        <w:t>   Art. 2. -</w:t>
      </w:r>
      <w:r w:rsidRPr="003241B7">
        <w:rPr>
          <w:rFonts w:ascii="Arial" w:hAnsi="Arial" w:cs="Arial"/>
          <w:lang w:eastAsia="ro-RO"/>
        </w:rPr>
        <w:t xml:space="preserve"> </w:t>
      </w:r>
      <w:bookmarkStart w:id="7" w:name="tree#9"/>
      <w:bookmarkEnd w:id="6"/>
      <w:r w:rsidRPr="003241B7">
        <w:rPr>
          <w:rFonts w:ascii="Arial" w:hAnsi="Arial" w:cs="Arial"/>
          <w:lang w:eastAsia="ro-RO"/>
        </w:rPr>
        <w:t xml:space="preserve">Prin derogare de la prevederile </w:t>
      </w:r>
      <w:bookmarkEnd w:id="7"/>
      <w:r w:rsidRPr="003241B7">
        <w:rPr>
          <w:rFonts w:ascii="Arial" w:hAnsi="Arial" w:cs="Arial"/>
          <w:lang w:eastAsia="ro-RO"/>
        </w:rPr>
        <w:fldChar w:fldCharType="begin"/>
      </w:r>
      <w:r w:rsidRPr="003241B7">
        <w:rPr>
          <w:rFonts w:ascii="Arial" w:hAnsi="Arial" w:cs="Arial"/>
          <w:lang w:eastAsia="ro-RO"/>
        </w:rPr>
        <w:instrText xml:space="preserve"> HYPERLINK "lnk:HOT%20GUV%20965%202013%200" \o "Hotărâre nr. 965/2013 - Guvernul României" </w:instrText>
      </w:r>
      <w:r w:rsidRPr="003241B7">
        <w:rPr>
          <w:rFonts w:ascii="Arial" w:hAnsi="Arial" w:cs="Arial"/>
          <w:lang w:eastAsia="ro-RO"/>
        </w:rPr>
        <w:fldChar w:fldCharType="separate"/>
      </w:r>
      <w:r w:rsidRPr="003241B7">
        <w:rPr>
          <w:rFonts w:ascii="Arial" w:hAnsi="Arial" w:cs="Arial"/>
          <w:b/>
          <w:bCs/>
          <w:u w:val="single"/>
          <w:lang w:eastAsia="ro-RO"/>
        </w:rPr>
        <w:t>art. 1</w:t>
      </w:r>
      <w:r w:rsidRPr="003241B7">
        <w:rPr>
          <w:rFonts w:ascii="Arial" w:hAnsi="Arial" w:cs="Arial"/>
          <w:lang w:eastAsia="ro-RO"/>
        </w:rPr>
        <w:fldChar w:fldCharType="end"/>
      </w:r>
      <w:r w:rsidRPr="003241B7">
        <w:rPr>
          <w:rFonts w:ascii="Arial" w:hAnsi="Arial" w:cs="Arial"/>
          <w:lang w:eastAsia="ro-RO"/>
        </w:rPr>
        <w:t xml:space="preserve">, personalul din cadrul Trezoreriei Statului poate desfăşura în zilele de 27 şi 31 decembrie 2013 şi 3 ianuarie 2014 activităţile stabilite prin normele metodologice privind încheierea exerciţiului bugetar al anului 2013, aprobate prin ordin al viceprim-ministrului, ministrul finanţelor publice. </w:t>
      </w:r>
    </w:p>
    <w:p w:rsidR="003241B7" w:rsidRPr="003241B7" w:rsidRDefault="003241B7" w:rsidP="003241B7">
      <w:pPr>
        <w:rPr>
          <w:rFonts w:ascii="Arial" w:hAnsi="Arial" w:cs="Arial"/>
          <w:lang w:eastAsia="ro-RO"/>
        </w:rPr>
      </w:pPr>
      <w:bookmarkStart w:id="8" w:name="tree#10"/>
      <w:r w:rsidRPr="003241B7">
        <w:rPr>
          <w:rFonts w:ascii="Arial" w:hAnsi="Arial" w:cs="Arial"/>
          <w:b/>
          <w:bCs/>
          <w:lang w:eastAsia="ro-RO"/>
        </w:rPr>
        <w:t>   Art. 3. -</w:t>
      </w:r>
      <w:r w:rsidRPr="003241B7">
        <w:rPr>
          <w:rFonts w:ascii="Arial" w:hAnsi="Arial" w:cs="Arial"/>
          <w:lang w:eastAsia="ro-RO"/>
        </w:rPr>
        <w:t xml:space="preserve"> </w:t>
      </w:r>
      <w:bookmarkStart w:id="9" w:name="tree#11"/>
      <w:bookmarkEnd w:id="8"/>
      <w:r w:rsidRPr="003241B7">
        <w:rPr>
          <w:rFonts w:ascii="Arial" w:hAnsi="Arial" w:cs="Arial"/>
          <w:lang w:eastAsia="ro-RO"/>
        </w:rPr>
        <w:t xml:space="preserve">Prevederile </w:t>
      </w:r>
      <w:bookmarkEnd w:id="9"/>
      <w:r w:rsidRPr="003241B7">
        <w:rPr>
          <w:rFonts w:ascii="Arial" w:hAnsi="Arial" w:cs="Arial"/>
          <w:lang w:eastAsia="ro-RO"/>
        </w:rPr>
        <w:fldChar w:fldCharType="begin"/>
      </w:r>
      <w:r w:rsidRPr="003241B7">
        <w:rPr>
          <w:rFonts w:ascii="Arial" w:hAnsi="Arial" w:cs="Arial"/>
          <w:lang w:eastAsia="ro-RO"/>
        </w:rPr>
        <w:instrText xml:space="preserve"> HYPERLINK "lnk:HOT%20GUV%20965%202013%200" \o "Hotărâre nr. 965/2013 - Guvernul României" </w:instrText>
      </w:r>
      <w:r w:rsidRPr="003241B7">
        <w:rPr>
          <w:rFonts w:ascii="Arial" w:hAnsi="Arial" w:cs="Arial"/>
          <w:lang w:eastAsia="ro-RO"/>
        </w:rPr>
        <w:fldChar w:fldCharType="separate"/>
      </w:r>
      <w:r w:rsidRPr="003241B7">
        <w:rPr>
          <w:rFonts w:ascii="Arial" w:hAnsi="Arial" w:cs="Arial"/>
          <w:b/>
          <w:bCs/>
          <w:u w:val="single"/>
          <w:lang w:eastAsia="ro-RO"/>
        </w:rPr>
        <w:t>art. 1</w:t>
      </w:r>
      <w:r w:rsidRPr="003241B7">
        <w:rPr>
          <w:rFonts w:ascii="Arial" w:hAnsi="Arial" w:cs="Arial"/>
          <w:lang w:eastAsia="ro-RO"/>
        </w:rPr>
        <w:fldChar w:fldCharType="end"/>
      </w:r>
      <w:r w:rsidRPr="003241B7">
        <w:rPr>
          <w:rFonts w:ascii="Arial" w:hAnsi="Arial" w:cs="Arial"/>
          <w:lang w:eastAsia="ro-RO"/>
        </w:rPr>
        <w:t xml:space="preserve"> nu se aplică în locurile de muncă în care activitatea nu poate fi întreruptă datorită caracterului procesului de producţie sau specificului activităţii. </w:t>
      </w:r>
    </w:p>
    <w:p w:rsidR="003241B7" w:rsidRPr="003241B7" w:rsidRDefault="003241B7" w:rsidP="003241B7">
      <w:pPr>
        <w:rPr>
          <w:rFonts w:ascii="Arial" w:hAnsi="Arial" w:cs="Arial"/>
          <w:lang w:eastAsia="ro-RO"/>
        </w:rPr>
      </w:pPr>
      <w:bookmarkStart w:id="10" w:name="tree#12"/>
      <w:r w:rsidRPr="003241B7">
        <w:rPr>
          <w:rFonts w:ascii="Arial" w:hAnsi="Arial" w:cs="Arial"/>
          <w:b/>
          <w:bCs/>
          <w:lang w:eastAsia="ro-RO"/>
        </w:rPr>
        <w:t>   Art. 4. -</w:t>
      </w:r>
      <w:r w:rsidRPr="003241B7">
        <w:rPr>
          <w:rFonts w:ascii="Arial" w:hAnsi="Arial" w:cs="Arial"/>
          <w:lang w:eastAsia="ro-RO"/>
        </w:rPr>
        <w:t xml:space="preserve"> </w:t>
      </w:r>
      <w:bookmarkStart w:id="11" w:name="tree#13"/>
      <w:bookmarkEnd w:id="10"/>
      <w:r w:rsidRPr="003241B7">
        <w:rPr>
          <w:rFonts w:ascii="Arial" w:hAnsi="Arial" w:cs="Arial"/>
          <w:b/>
          <w:bCs/>
          <w:lang w:eastAsia="ro-RO"/>
        </w:rPr>
        <w:t>(1)</w:t>
      </w:r>
      <w:r w:rsidRPr="003241B7">
        <w:rPr>
          <w:rFonts w:ascii="Arial" w:hAnsi="Arial" w:cs="Arial"/>
          <w:lang w:eastAsia="ro-RO"/>
        </w:rPr>
        <w:t xml:space="preserve"> Dispoziţiile </w:t>
      </w:r>
      <w:bookmarkEnd w:id="11"/>
      <w:r w:rsidRPr="003241B7">
        <w:rPr>
          <w:rFonts w:ascii="Arial" w:hAnsi="Arial" w:cs="Arial"/>
          <w:lang w:eastAsia="ro-RO"/>
        </w:rPr>
        <w:fldChar w:fldCharType="begin"/>
      </w:r>
      <w:r w:rsidRPr="003241B7">
        <w:rPr>
          <w:rFonts w:ascii="Arial" w:hAnsi="Arial" w:cs="Arial"/>
          <w:lang w:eastAsia="ro-RO"/>
        </w:rPr>
        <w:instrText xml:space="preserve"> HYPERLINK "lnk:HOT%20GUV%20965%202013%200" \o "Hotărâre nr. 965/2013 - Guvernul României" </w:instrText>
      </w:r>
      <w:r w:rsidRPr="003241B7">
        <w:rPr>
          <w:rFonts w:ascii="Arial" w:hAnsi="Arial" w:cs="Arial"/>
          <w:lang w:eastAsia="ro-RO"/>
        </w:rPr>
        <w:fldChar w:fldCharType="separate"/>
      </w:r>
      <w:r w:rsidRPr="003241B7">
        <w:rPr>
          <w:rFonts w:ascii="Arial" w:hAnsi="Arial" w:cs="Arial"/>
          <w:b/>
          <w:bCs/>
          <w:u w:val="single"/>
          <w:lang w:eastAsia="ro-RO"/>
        </w:rPr>
        <w:t>art. 1</w:t>
      </w:r>
      <w:r w:rsidRPr="003241B7">
        <w:rPr>
          <w:rFonts w:ascii="Arial" w:hAnsi="Arial" w:cs="Arial"/>
          <w:lang w:eastAsia="ro-RO"/>
        </w:rPr>
        <w:fldChar w:fldCharType="end"/>
      </w:r>
      <w:r w:rsidRPr="003241B7">
        <w:rPr>
          <w:rFonts w:ascii="Arial" w:hAnsi="Arial" w:cs="Arial"/>
          <w:lang w:eastAsia="ro-RO"/>
        </w:rPr>
        <w:t xml:space="preserve"> nu se aplică magistraţilor şi celorlalte categorii de personal din cadrul instanţelor judecătoreşti implicate în soluţionarea proceselor cu termen în data de 27 şi 31 decembrie 2013, respectiv 3 ianuarie 2014 şi nici participanţilor în aceste procese. </w:t>
      </w:r>
    </w:p>
    <w:p w:rsidR="003241B7" w:rsidRPr="003241B7" w:rsidRDefault="003241B7" w:rsidP="003241B7">
      <w:pPr>
        <w:rPr>
          <w:rFonts w:ascii="Arial" w:hAnsi="Arial" w:cs="Arial"/>
          <w:lang w:eastAsia="ro-RO"/>
        </w:rPr>
      </w:pPr>
      <w:bookmarkStart w:id="12" w:name="tree#14"/>
      <w:r w:rsidRPr="003241B7">
        <w:rPr>
          <w:rFonts w:ascii="Arial" w:hAnsi="Arial" w:cs="Arial"/>
          <w:b/>
          <w:bCs/>
          <w:lang w:eastAsia="ro-RO"/>
        </w:rPr>
        <w:t>   (2)</w:t>
      </w:r>
      <w:r w:rsidRPr="003241B7">
        <w:rPr>
          <w:rFonts w:ascii="Arial" w:hAnsi="Arial" w:cs="Arial"/>
          <w:lang w:eastAsia="ro-RO"/>
        </w:rPr>
        <w:t xml:space="preserve"> Dispoziţiile </w:t>
      </w:r>
      <w:bookmarkEnd w:id="12"/>
      <w:r w:rsidRPr="003241B7">
        <w:rPr>
          <w:rFonts w:ascii="Arial" w:hAnsi="Arial" w:cs="Arial"/>
          <w:lang w:eastAsia="ro-RO"/>
        </w:rPr>
        <w:fldChar w:fldCharType="begin"/>
      </w:r>
      <w:r w:rsidRPr="003241B7">
        <w:rPr>
          <w:rFonts w:ascii="Arial" w:hAnsi="Arial" w:cs="Arial"/>
          <w:lang w:eastAsia="ro-RO"/>
        </w:rPr>
        <w:instrText xml:space="preserve"> HYPERLINK "lnk:HOT%20GUV%20965%202013%200" \o "Hotărâre nr. 965/2013 - Guvernul României" </w:instrText>
      </w:r>
      <w:r w:rsidRPr="003241B7">
        <w:rPr>
          <w:rFonts w:ascii="Arial" w:hAnsi="Arial" w:cs="Arial"/>
          <w:lang w:eastAsia="ro-RO"/>
        </w:rPr>
        <w:fldChar w:fldCharType="separate"/>
      </w:r>
      <w:r w:rsidRPr="003241B7">
        <w:rPr>
          <w:rFonts w:ascii="Arial" w:hAnsi="Arial" w:cs="Arial"/>
          <w:b/>
          <w:bCs/>
          <w:u w:val="single"/>
          <w:lang w:eastAsia="ro-RO"/>
        </w:rPr>
        <w:t>art. 1</w:t>
      </w:r>
      <w:r w:rsidRPr="003241B7">
        <w:rPr>
          <w:rFonts w:ascii="Arial" w:hAnsi="Arial" w:cs="Arial"/>
          <w:lang w:eastAsia="ro-RO"/>
        </w:rPr>
        <w:fldChar w:fldCharType="end"/>
      </w:r>
      <w:r w:rsidRPr="003241B7">
        <w:rPr>
          <w:rFonts w:ascii="Arial" w:hAnsi="Arial" w:cs="Arial"/>
          <w:lang w:eastAsia="ro-RO"/>
        </w:rPr>
        <w:t xml:space="preserve"> nu se aplică personalului din cadrul Agenţiei Naţionale de Administrare Fiscală cu atribuţii în administrarea veniturilor cuvenite bugetului consolidat al statului, stabilit prin ordin al preşedintelui Agenţiei Naţionale de Administrare Fiscală. </w:t>
      </w:r>
    </w:p>
    <w:p w:rsidR="003241B7" w:rsidRPr="003241B7" w:rsidRDefault="003241B7" w:rsidP="003241B7">
      <w:pPr>
        <w:rPr>
          <w:rFonts w:ascii="Arial" w:hAnsi="Arial" w:cs="Arial"/>
          <w:lang w:eastAsia="ro-RO"/>
        </w:rPr>
      </w:pPr>
      <w:bookmarkStart w:id="13" w:name="ref#A0"/>
      <w:bookmarkStart w:id="14" w:name="tree#15"/>
      <w:bookmarkEnd w:id="13"/>
      <w:r w:rsidRPr="003241B7">
        <w:rPr>
          <w:rFonts w:ascii="Arial" w:hAnsi="Arial" w:cs="Arial"/>
          <w:b/>
          <w:bCs/>
          <w:lang w:eastAsia="ro-RO"/>
        </w:rPr>
        <w:t>   Art. 5. -</w:t>
      </w:r>
      <w:r w:rsidRPr="003241B7">
        <w:rPr>
          <w:rFonts w:ascii="Arial" w:hAnsi="Arial" w:cs="Arial"/>
          <w:lang w:eastAsia="ro-RO"/>
        </w:rPr>
        <w:t xml:space="preserve"> </w:t>
      </w:r>
      <w:bookmarkStart w:id="15" w:name="ref#"/>
      <w:bookmarkStart w:id="16" w:name="tree#16"/>
      <w:bookmarkEnd w:id="14"/>
      <w:bookmarkEnd w:id="15"/>
      <w:r w:rsidRPr="003241B7">
        <w:rPr>
          <w:rFonts w:ascii="Arial" w:hAnsi="Arial" w:cs="Arial"/>
          <w:lang w:eastAsia="ro-RO"/>
        </w:rPr>
        <w:t xml:space="preserve">Dispoziţiile prezentei hotărâri pot fi aplicate şi angajaţilor din sectorul privat, în măsura în care partenerii sociali stabilesc astfel. </w:t>
      </w:r>
    </w:p>
    <w:p w:rsidR="003241B7" w:rsidRPr="003241B7" w:rsidRDefault="003241B7" w:rsidP="003241B7">
      <w:pPr>
        <w:rPr>
          <w:rFonts w:ascii="Arial" w:hAnsi="Arial" w:cs="Arial"/>
          <w:lang w:eastAsia="ro-RO"/>
        </w:rPr>
      </w:pPr>
    </w:p>
    <w:p w:rsidR="003241B7" w:rsidRPr="003241B7" w:rsidRDefault="003241B7" w:rsidP="003241B7">
      <w:pPr>
        <w:jc w:val="center"/>
        <w:rPr>
          <w:rFonts w:ascii="Courier New" w:hAnsi="Courier New" w:cs="Courier New"/>
          <w:lang w:eastAsia="ro-RO"/>
        </w:rPr>
      </w:pPr>
    </w:p>
    <w:tbl>
      <w:tblPr>
        <w:tblW w:w="2055" w:type="dxa"/>
        <w:jc w:val="center"/>
        <w:tblCellMar>
          <w:top w:w="15" w:type="dxa"/>
          <w:left w:w="15" w:type="dxa"/>
          <w:bottom w:w="15" w:type="dxa"/>
          <w:right w:w="15" w:type="dxa"/>
        </w:tblCellMar>
        <w:tblLook w:val="04A0" w:firstRow="1" w:lastRow="0" w:firstColumn="1" w:lastColumn="0" w:noHBand="0" w:noVBand="1"/>
      </w:tblPr>
      <w:tblGrid>
        <w:gridCol w:w="6"/>
        <w:gridCol w:w="2049"/>
      </w:tblGrid>
      <w:tr w:rsidR="003241B7" w:rsidRPr="003241B7" w:rsidTr="003241B7">
        <w:trPr>
          <w:trHeight w:val="15"/>
          <w:jc w:val="center"/>
        </w:trPr>
        <w:tc>
          <w:tcPr>
            <w:tcW w:w="0" w:type="auto"/>
            <w:tcMar>
              <w:top w:w="0" w:type="dxa"/>
              <w:left w:w="0" w:type="dxa"/>
              <w:bottom w:w="0" w:type="dxa"/>
              <w:right w:w="0" w:type="dxa"/>
            </w:tcMar>
            <w:vAlign w:val="center"/>
          </w:tcPr>
          <w:p w:rsidR="003241B7" w:rsidRPr="003241B7" w:rsidRDefault="003241B7" w:rsidP="003241B7">
            <w:pPr>
              <w:rPr>
                <w:rFonts w:ascii="Arial" w:hAnsi="Arial" w:cs="Arial"/>
                <w:sz w:val="2"/>
                <w:lang w:eastAsia="ro-RO"/>
              </w:rPr>
            </w:pPr>
          </w:p>
        </w:tc>
        <w:tc>
          <w:tcPr>
            <w:tcW w:w="0" w:type="auto"/>
            <w:vAlign w:val="center"/>
          </w:tcPr>
          <w:p w:rsidR="003241B7" w:rsidRPr="003241B7" w:rsidRDefault="003241B7" w:rsidP="003241B7">
            <w:pPr>
              <w:rPr>
                <w:rFonts w:ascii="Arial" w:hAnsi="Arial" w:cs="Arial"/>
                <w:sz w:val="2"/>
                <w:lang w:eastAsia="ro-RO"/>
              </w:rPr>
            </w:pPr>
          </w:p>
        </w:tc>
      </w:tr>
      <w:tr w:rsidR="003241B7" w:rsidRPr="003241B7" w:rsidTr="003241B7">
        <w:trPr>
          <w:trHeight w:val="555"/>
          <w:jc w:val="center"/>
        </w:trPr>
        <w:tc>
          <w:tcPr>
            <w:tcW w:w="0" w:type="auto"/>
            <w:tcMar>
              <w:top w:w="0" w:type="dxa"/>
              <w:left w:w="0" w:type="dxa"/>
              <w:bottom w:w="0" w:type="dxa"/>
              <w:right w:w="0" w:type="dxa"/>
            </w:tcMar>
            <w:vAlign w:val="center"/>
            <w:hideMark/>
          </w:tcPr>
          <w:p w:rsidR="003241B7" w:rsidRPr="003241B7" w:rsidRDefault="003241B7" w:rsidP="003241B7">
            <w:pPr>
              <w:rPr>
                <w:rFonts w:ascii="Arial" w:hAnsi="Arial" w:cs="Arial"/>
                <w:lang w:eastAsia="ro-RO"/>
              </w:rPr>
            </w:pPr>
          </w:p>
        </w:tc>
        <w:tc>
          <w:tcPr>
            <w:tcW w:w="0" w:type="auto"/>
            <w:tcBorders>
              <w:top w:val="nil"/>
              <w:left w:val="nil"/>
              <w:bottom w:val="nil"/>
              <w:right w:val="nil"/>
            </w:tcBorders>
            <w:vAlign w:val="center"/>
            <w:hideMark/>
          </w:tcPr>
          <w:p w:rsidR="003241B7" w:rsidRPr="003241B7" w:rsidRDefault="003241B7" w:rsidP="003241B7">
            <w:pPr>
              <w:jc w:val="center"/>
              <w:rPr>
                <w:rFonts w:ascii="Arial" w:hAnsi="Arial" w:cs="Arial"/>
                <w:lang w:eastAsia="ro-RO"/>
              </w:rPr>
            </w:pPr>
            <w:r w:rsidRPr="003241B7">
              <w:rPr>
                <w:rFonts w:ascii="Arial" w:hAnsi="Arial" w:cs="Arial"/>
                <w:lang w:eastAsia="ro-RO"/>
              </w:rPr>
              <w:t>PRIM-MINISTRU</w:t>
            </w:r>
            <w:r w:rsidRPr="003241B7">
              <w:rPr>
                <w:rFonts w:ascii="Arial" w:hAnsi="Arial" w:cs="Arial"/>
                <w:lang w:eastAsia="ro-RO"/>
              </w:rPr>
              <w:br/>
              <w:t>VICTOR-VIOREL PONTA</w:t>
            </w:r>
          </w:p>
        </w:tc>
      </w:tr>
      <w:tr w:rsidR="003241B7" w:rsidRPr="003241B7" w:rsidTr="003241B7">
        <w:trPr>
          <w:trHeight w:val="3930"/>
          <w:jc w:val="center"/>
        </w:trPr>
        <w:tc>
          <w:tcPr>
            <w:tcW w:w="0" w:type="auto"/>
            <w:tcMar>
              <w:top w:w="0" w:type="dxa"/>
              <w:left w:w="0" w:type="dxa"/>
              <w:bottom w:w="0" w:type="dxa"/>
              <w:right w:w="0" w:type="dxa"/>
            </w:tcMar>
            <w:vAlign w:val="center"/>
            <w:hideMark/>
          </w:tcPr>
          <w:p w:rsidR="003241B7" w:rsidRPr="003241B7" w:rsidRDefault="003241B7" w:rsidP="003241B7">
            <w:pPr>
              <w:rPr>
                <w:rFonts w:ascii="Arial" w:hAnsi="Arial" w:cs="Arial"/>
                <w:lang w:eastAsia="ro-RO"/>
              </w:rPr>
            </w:pPr>
          </w:p>
        </w:tc>
        <w:tc>
          <w:tcPr>
            <w:tcW w:w="0" w:type="auto"/>
            <w:tcBorders>
              <w:top w:val="nil"/>
              <w:left w:val="nil"/>
              <w:bottom w:val="nil"/>
              <w:right w:val="nil"/>
            </w:tcBorders>
            <w:vAlign w:val="center"/>
            <w:hideMark/>
          </w:tcPr>
          <w:p w:rsidR="003241B7" w:rsidRPr="003241B7" w:rsidRDefault="003241B7" w:rsidP="003241B7">
            <w:pPr>
              <w:jc w:val="center"/>
              <w:rPr>
                <w:rFonts w:ascii="Arial" w:hAnsi="Arial" w:cs="Arial"/>
                <w:lang w:eastAsia="ro-RO"/>
              </w:rPr>
            </w:pPr>
            <w:r w:rsidRPr="003241B7">
              <w:rPr>
                <w:rFonts w:ascii="Arial" w:hAnsi="Arial" w:cs="Arial"/>
                <w:lang w:eastAsia="ro-RO"/>
              </w:rPr>
              <w:t>Contrasemnează:</w:t>
            </w:r>
            <w:r w:rsidRPr="003241B7">
              <w:rPr>
                <w:rFonts w:ascii="Arial" w:hAnsi="Arial" w:cs="Arial"/>
                <w:lang w:eastAsia="ro-RO"/>
              </w:rPr>
              <w:br/>
              <w:t>Ministrul economiei,</w:t>
            </w:r>
            <w:r w:rsidRPr="003241B7">
              <w:rPr>
                <w:rFonts w:ascii="Arial" w:hAnsi="Arial" w:cs="Arial"/>
                <w:lang w:eastAsia="ro-RO"/>
              </w:rPr>
              <w:br/>
              <w:t>Andrei Dominic Gerea</w:t>
            </w:r>
            <w:r w:rsidRPr="003241B7">
              <w:rPr>
                <w:rFonts w:ascii="Arial" w:hAnsi="Arial" w:cs="Arial"/>
                <w:lang w:eastAsia="ro-RO"/>
              </w:rPr>
              <w:br/>
              <w:t>Ministrul delegat pentru întreprinderi mici şi mijlocii,</w:t>
            </w:r>
            <w:r w:rsidRPr="003241B7">
              <w:rPr>
                <w:rFonts w:ascii="Arial" w:hAnsi="Arial" w:cs="Arial"/>
                <w:lang w:eastAsia="ro-RO"/>
              </w:rPr>
              <w:br/>
              <w:t>mediul de afaceri şi turism,</w:t>
            </w:r>
            <w:r w:rsidRPr="003241B7">
              <w:rPr>
                <w:rFonts w:ascii="Arial" w:hAnsi="Arial" w:cs="Arial"/>
                <w:lang w:eastAsia="ro-RO"/>
              </w:rPr>
              <w:br/>
              <w:t>Maria Grapini</w:t>
            </w:r>
            <w:r w:rsidRPr="003241B7">
              <w:rPr>
                <w:rFonts w:ascii="Arial" w:hAnsi="Arial" w:cs="Arial"/>
                <w:lang w:eastAsia="ro-RO"/>
              </w:rPr>
              <w:br/>
              <w:t>Viceprim-ministru,</w:t>
            </w:r>
            <w:r w:rsidRPr="003241B7">
              <w:rPr>
                <w:rFonts w:ascii="Arial" w:hAnsi="Arial" w:cs="Arial"/>
                <w:lang w:eastAsia="ro-RO"/>
              </w:rPr>
              <w:br/>
              <w:t>ministrul dezvoltării regionale şi administraţiei publice,</w:t>
            </w:r>
            <w:r w:rsidRPr="003241B7">
              <w:rPr>
                <w:rFonts w:ascii="Arial" w:hAnsi="Arial" w:cs="Arial"/>
                <w:lang w:eastAsia="ro-RO"/>
              </w:rPr>
              <w:br/>
              <w:t>Nicolae-Liviu Dragnea</w:t>
            </w:r>
            <w:r w:rsidRPr="003241B7">
              <w:rPr>
                <w:rFonts w:ascii="Arial" w:hAnsi="Arial" w:cs="Arial"/>
                <w:lang w:eastAsia="ro-RO"/>
              </w:rPr>
              <w:br/>
              <w:t>Viceprim-ministru,</w:t>
            </w:r>
            <w:r w:rsidRPr="003241B7">
              <w:rPr>
                <w:rFonts w:ascii="Arial" w:hAnsi="Arial" w:cs="Arial"/>
                <w:lang w:eastAsia="ro-RO"/>
              </w:rPr>
              <w:br/>
              <w:t>ministrul finanţelor publice,</w:t>
            </w:r>
            <w:r w:rsidRPr="003241B7">
              <w:rPr>
                <w:rFonts w:ascii="Arial" w:hAnsi="Arial" w:cs="Arial"/>
                <w:lang w:eastAsia="ro-RO"/>
              </w:rPr>
              <w:br/>
              <w:t>Daniel Chiţoiu</w:t>
            </w:r>
            <w:r w:rsidRPr="003241B7">
              <w:rPr>
                <w:rFonts w:ascii="Arial" w:hAnsi="Arial" w:cs="Arial"/>
                <w:lang w:eastAsia="ro-RO"/>
              </w:rPr>
              <w:br/>
              <w:t>p. Ministrul delegat pentru buget,</w:t>
            </w:r>
            <w:r w:rsidRPr="003241B7">
              <w:rPr>
                <w:rFonts w:ascii="Arial" w:hAnsi="Arial" w:cs="Arial"/>
                <w:lang w:eastAsia="ro-RO"/>
              </w:rPr>
              <w:br/>
              <w:t>Gheorghe Gherghina,</w:t>
            </w:r>
            <w:r w:rsidRPr="003241B7">
              <w:rPr>
                <w:rFonts w:ascii="Arial" w:hAnsi="Arial" w:cs="Arial"/>
                <w:lang w:eastAsia="ro-RO"/>
              </w:rPr>
              <w:br/>
              <w:t>secretar de stat</w:t>
            </w:r>
            <w:r w:rsidRPr="003241B7">
              <w:rPr>
                <w:rFonts w:ascii="Arial" w:hAnsi="Arial" w:cs="Arial"/>
                <w:lang w:eastAsia="ro-RO"/>
              </w:rPr>
              <w:br/>
              <w:t>Ministrul justiţiei,</w:t>
            </w:r>
            <w:r w:rsidRPr="003241B7">
              <w:rPr>
                <w:rFonts w:ascii="Arial" w:hAnsi="Arial" w:cs="Arial"/>
                <w:lang w:eastAsia="ro-RO"/>
              </w:rPr>
              <w:br/>
              <w:t>Robert Marius Cazanciuc</w:t>
            </w:r>
          </w:p>
        </w:tc>
      </w:tr>
      <w:bookmarkEnd w:id="16"/>
    </w:tbl>
    <w:p w:rsidR="00FA439D" w:rsidRPr="00FA439D" w:rsidRDefault="00FA439D" w:rsidP="00FA439D">
      <w:pPr>
        <w:jc w:val="center"/>
        <w:rPr>
          <w:sz w:val="28"/>
          <w:szCs w:val="28"/>
        </w:rPr>
      </w:pPr>
    </w:p>
    <w:sectPr w:rsidR="00FA439D" w:rsidRPr="00FA439D" w:rsidSect="003241B7">
      <w:pgSz w:w="11906" w:h="16838"/>
      <w:pgMar w:top="567" w:right="991"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1B7"/>
    <w:rsid w:val="00002DD0"/>
    <w:rsid w:val="001B5140"/>
    <w:rsid w:val="0028030D"/>
    <w:rsid w:val="003241B7"/>
    <w:rsid w:val="003B1BD0"/>
    <w:rsid w:val="004C0B93"/>
    <w:rsid w:val="004C5DC6"/>
    <w:rsid w:val="0072648A"/>
    <w:rsid w:val="007B5A13"/>
    <w:rsid w:val="007E6997"/>
    <w:rsid w:val="008502D6"/>
    <w:rsid w:val="009D0CE7"/>
    <w:rsid w:val="00C03B19"/>
    <w:rsid w:val="00DF6D20"/>
    <w:rsid w:val="00E73E43"/>
    <w:rsid w:val="00F1518E"/>
    <w:rsid w:val="00FA439D"/>
    <w:rsid w:val="00FD0C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styleId="Hyperlink">
    <w:name w:val="Hyperlink"/>
    <w:basedOn w:val="DefaultParagraphFont"/>
    <w:uiPriority w:val="99"/>
    <w:semiHidden/>
    <w:unhideWhenUsed/>
    <w:rsid w:val="003241B7"/>
    <w:rPr>
      <w:color w:val="0000FF"/>
      <w:u w:val="single"/>
    </w:rPr>
  </w:style>
  <w:style w:type="character" w:customStyle="1" w:styleId="preambul1">
    <w:name w:val="preambul1"/>
    <w:basedOn w:val="DefaultParagraphFont"/>
    <w:rsid w:val="003241B7"/>
    <w:rPr>
      <w:i/>
      <w:iCs/>
      <w:color w:val="000000"/>
    </w:rPr>
  </w:style>
  <w:style w:type="character" w:customStyle="1" w:styleId="paragraf1">
    <w:name w:val="paragraf1"/>
    <w:basedOn w:val="DefaultParagraphFont"/>
    <w:rsid w:val="003241B7"/>
    <w:rPr>
      <w:shd w:val="clear" w:color="auto" w:fill="auto"/>
    </w:rPr>
  </w:style>
  <w:style w:type="character" w:customStyle="1" w:styleId="articol1">
    <w:name w:val="articol1"/>
    <w:basedOn w:val="DefaultParagraphFont"/>
    <w:rsid w:val="003241B7"/>
    <w:rPr>
      <w:b/>
      <w:bCs/>
      <w:color w:val="009500"/>
    </w:rPr>
  </w:style>
  <w:style w:type="character" w:customStyle="1" w:styleId="alineat1">
    <w:name w:val="alineat1"/>
    <w:basedOn w:val="DefaultParagraphFont"/>
    <w:rsid w:val="003241B7"/>
    <w:rPr>
      <w:b/>
      <w:bCs/>
      <w:color w:val="000000"/>
    </w:rPr>
  </w:style>
  <w:style w:type="character" w:customStyle="1" w:styleId="id0">
    <w:name w:val="id=0"/>
    <w:basedOn w:val="DefaultParagraphFont"/>
    <w:rsid w:val="00324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DC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5A13"/>
    <w:pPr>
      <w:jc w:val="both"/>
    </w:pPr>
    <w:rPr>
      <w:sz w:val="28"/>
    </w:rPr>
  </w:style>
  <w:style w:type="character" w:customStyle="1" w:styleId="BodyTextChar">
    <w:name w:val="Body Text Char"/>
    <w:basedOn w:val="DefaultParagraphFont"/>
    <w:link w:val="BodyText"/>
    <w:rsid w:val="007B5A13"/>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7B5A13"/>
    <w:pPr>
      <w:tabs>
        <w:tab w:val="center" w:pos="4513"/>
        <w:tab w:val="right" w:pos="9026"/>
      </w:tabs>
    </w:pPr>
    <w:rPr>
      <w:rFonts w:ascii="Calibri" w:hAnsi="Calibri"/>
      <w:sz w:val="22"/>
      <w:szCs w:val="22"/>
      <w:lang w:val="en-AU" w:eastAsia="en-AU"/>
    </w:rPr>
  </w:style>
  <w:style w:type="character" w:customStyle="1" w:styleId="HeaderChar">
    <w:name w:val="Header Char"/>
    <w:basedOn w:val="DefaultParagraphFont"/>
    <w:link w:val="Header"/>
    <w:uiPriority w:val="99"/>
    <w:rsid w:val="007B5A13"/>
    <w:rPr>
      <w:rFonts w:ascii="Calibri" w:eastAsia="Times New Roman" w:hAnsi="Calibri" w:cs="Times New Roman"/>
      <w:lang w:val="en-AU" w:eastAsia="en-AU"/>
    </w:rPr>
  </w:style>
  <w:style w:type="paragraph" w:styleId="BalloonText">
    <w:name w:val="Balloon Text"/>
    <w:basedOn w:val="Normal"/>
    <w:link w:val="BalloonTextChar"/>
    <w:uiPriority w:val="99"/>
    <w:semiHidden/>
    <w:unhideWhenUsed/>
    <w:rsid w:val="007B5A13"/>
    <w:rPr>
      <w:rFonts w:ascii="Tahoma" w:hAnsi="Tahoma" w:cs="Tahoma"/>
      <w:sz w:val="16"/>
      <w:szCs w:val="16"/>
    </w:rPr>
  </w:style>
  <w:style w:type="character" w:customStyle="1" w:styleId="BalloonTextChar">
    <w:name w:val="Balloon Text Char"/>
    <w:basedOn w:val="DefaultParagraphFont"/>
    <w:link w:val="BalloonText"/>
    <w:uiPriority w:val="99"/>
    <w:semiHidden/>
    <w:rsid w:val="007B5A13"/>
    <w:rPr>
      <w:rFonts w:ascii="Tahoma" w:eastAsia="Times New Roman" w:hAnsi="Tahoma" w:cs="Tahoma"/>
      <w:sz w:val="16"/>
      <w:szCs w:val="16"/>
    </w:rPr>
  </w:style>
  <w:style w:type="character" w:styleId="Hyperlink">
    <w:name w:val="Hyperlink"/>
    <w:basedOn w:val="DefaultParagraphFont"/>
    <w:uiPriority w:val="99"/>
    <w:semiHidden/>
    <w:unhideWhenUsed/>
    <w:rsid w:val="003241B7"/>
    <w:rPr>
      <w:color w:val="0000FF"/>
      <w:u w:val="single"/>
    </w:rPr>
  </w:style>
  <w:style w:type="character" w:customStyle="1" w:styleId="preambul1">
    <w:name w:val="preambul1"/>
    <w:basedOn w:val="DefaultParagraphFont"/>
    <w:rsid w:val="003241B7"/>
    <w:rPr>
      <w:i/>
      <w:iCs/>
      <w:color w:val="000000"/>
    </w:rPr>
  </w:style>
  <w:style w:type="character" w:customStyle="1" w:styleId="paragraf1">
    <w:name w:val="paragraf1"/>
    <w:basedOn w:val="DefaultParagraphFont"/>
    <w:rsid w:val="003241B7"/>
    <w:rPr>
      <w:shd w:val="clear" w:color="auto" w:fill="auto"/>
    </w:rPr>
  </w:style>
  <w:style w:type="character" w:customStyle="1" w:styleId="articol1">
    <w:name w:val="articol1"/>
    <w:basedOn w:val="DefaultParagraphFont"/>
    <w:rsid w:val="003241B7"/>
    <w:rPr>
      <w:b/>
      <w:bCs/>
      <w:color w:val="009500"/>
    </w:rPr>
  </w:style>
  <w:style w:type="character" w:customStyle="1" w:styleId="alineat1">
    <w:name w:val="alineat1"/>
    <w:basedOn w:val="DefaultParagraphFont"/>
    <w:rsid w:val="003241B7"/>
    <w:rPr>
      <w:b/>
      <w:bCs/>
      <w:color w:val="000000"/>
    </w:rPr>
  </w:style>
  <w:style w:type="character" w:customStyle="1" w:styleId="id0">
    <w:name w:val="id=0"/>
    <w:basedOn w:val="DefaultParagraphFont"/>
    <w:rsid w:val="00324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804485">
      <w:bodyDiv w:val="1"/>
      <w:marLeft w:val="0"/>
      <w:marRight w:val="0"/>
      <w:marTop w:val="0"/>
      <w:marBottom w:val="0"/>
      <w:divBdr>
        <w:top w:val="none" w:sz="0" w:space="0" w:color="auto"/>
        <w:left w:val="none" w:sz="0" w:space="0" w:color="auto"/>
        <w:bottom w:val="none" w:sz="0" w:space="0" w:color="auto"/>
        <w:right w:val="none" w:sz="0" w:space="0" w:color="auto"/>
      </w:divBdr>
      <w:divsChild>
        <w:div w:id="1727336220">
          <w:marLeft w:val="0"/>
          <w:marRight w:val="0"/>
          <w:marTop w:val="0"/>
          <w:marBottom w:val="0"/>
          <w:divBdr>
            <w:top w:val="none" w:sz="0" w:space="0" w:color="auto"/>
            <w:left w:val="none" w:sz="0" w:space="0" w:color="auto"/>
            <w:bottom w:val="none" w:sz="0" w:space="0" w:color="auto"/>
            <w:right w:val="none" w:sz="0" w:space="0" w:color="auto"/>
          </w:divBdr>
        </w:div>
        <w:div w:id="838620983">
          <w:marLeft w:val="0"/>
          <w:marRight w:val="0"/>
          <w:marTop w:val="0"/>
          <w:marBottom w:val="0"/>
          <w:divBdr>
            <w:top w:val="none" w:sz="0" w:space="0" w:color="auto"/>
            <w:left w:val="none" w:sz="0" w:space="0" w:color="auto"/>
            <w:bottom w:val="none" w:sz="0" w:space="0" w:color="auto"/>
            <w:right w:val="none" w:sz="0" w:space="0" w:color="auto"/>
          </w:divBdr>
        </w:div>
        <w:div w:id="108741626">
          <w:marLeft w:val="0"/>
          <w:marRight w:val="0"/>
          <w:marTop w:val="0"/>
          <w:marBottom w:val="0"/>
          <w:divBdr>
            <w:top w:val="none" w:sz="0" w:space="0" w:color="auto"/>
            <w:left w:val="none" w:sz="0" w:space="0" w:color="auto"/>
            <w:bottom w:val="none" w:sz="0" w:space="0" w:color="auto"/>
            <w:right w:val="none" w:sz="0" w:space="0" w:color="auto"/>
          </w:divBdr>
        </w:div>
        <w:div w:id="1637877921">
          <w:marLeft w:val="0"/>
          <w:marRight w:val="0"/>
          <w:marTop w:val="0"/>
          <w:marBottom w:val="0"/>
          <w:divBdr>
            <w:top w:val="none" w:sz="0" w:space="0" w:color="auto"/>
            <w:left w:val="none" w:sz="0" w:space="0" w:color="auto"/>
            <w:bottom w:val="none" w:sz="0" w:space="0" w:color="auto"/>
            <w:right w:val="none" w:sz="0" w:space="0" w:color="auto"/>
          </w:divBdr>
        </w:div>
        <w:div w:id="119543979">
          <w:marLeft w:val="0"/>
          <w:marRight w:val="0"/>
          <w:marTop w:val="0"/>
          <w:marBottom w:val="0"/>
          <w:divBdr>
            <w:top w:val="none" w:sz="0" w:space="0" w:color="auto"/>
            <w:left w:val="none" w:sz="0" w:space="0" w:color="auto"/>
            <w:bottom w:val="none" w:sz="0" w:space="0" w:color="auto"/>
            <w:right w:val="none" w:sz="0" w:space="0" w:color="auto"/>
          </w:divBdr>
        </w:div>
        <w:div w:id="1850827355">
          <w:marLeft w:val="0"/>
          <w:marRight w:val="0"/>
          <w:marTop w:val="0"/>
          <w:marBottom w:val="0"/>
          <w:divBdr>
            <w:top w:val="none" w:sz="0" w:space="0" w:color="auto"/>
            <w:left w:val="none" w:sz="0" w:space="0" w:color="auto"/>
            <w:bottom w:val="none" w:sz="0" w:space="0" w:color="auto"/>
            <w:right w:val="none" w:sz="0" w:space="0" w:color="auto"/>
          </w:divBdr>
        </w:div>
        <w:div w:id="1372609816">
          <w:marLeft w:val="0"/>
          <w:marRight w:val="0"/>
          <w:marTop w:val="0"/>
          <w:marBottom w:val="0"/>
          <w:divBdr>
            <w:top w:val="none" w:sz="0" w:space="0" w:color="auto"/>
            <w:left w:val="none" w:sz="0" w:space="0" w:color="auto"/>
            <w:bottom w:val="none" w:sz="0" w:space="0" w:color="auto"/>
            <w:right w:val="none" w:sz="0" w:space="0" w:color="auto"/>
          </w:divBdr>
        </w:div>
        <w:div w:id="300424528">
          <w:marLeft w:val="0"/>
          <w:marRight w:val="0"/>
          <w:marTop w:val="0"/>
          <w:marBottom w:val="0"/>
          <w:divBdr>
            <w:top w:val="none" w:sz="0" w:space="0" w:color="auto"/>
            <w:left w:val="none" w:sz="0" w:space="0" w:color="auto"/>
            <w:bottom w:val="none" w:sz="0" w:space="0" w:color="auto"/>
            <w:right w:val="none" w:sz="0" w:space="0" w:color="auto"/>
          </w:divBdr>
        </w:div>
        <w:div w:id="387076200">
          <w:marLeft w:val="0"/>
          <w:marRight w:val="0"/>
          <w:marTop w:val="0"/>
          <w:marBottom w:val="0"/>
          <w:divBdr>
            <w:top w:val="none" w:sz="0" w:space="0" w:color="auto"/>
            <w:left w:val="none" w:sz="0" w:space="0" w:color="auto"/>
            <w:bottom w:val="none" w:sz="0" w:space="0" w:color="auto"/>
            <w:right w:val="none" w:sz="0" w:space="0" w:color="auto"/>
          </w:divBdr>
        </w:div>
        <w:div w:id="1316379530">
          <w:marLeft w:val="0"/>
          <w:marRight w:val="0"/>
          <w:marTop w:val="0"/>
          <w:marBottom w:val="0"/>
          <w:divBdr>
            <w:top w:val="none" w:sz="0" w:space="0" w:color="auto"/>
            <w:left w:val="none" w:sz="0" w:space="0" w:color="auto"/>
            <w:bottom w:val="none" w:sz="0" w:space="0" w:color="auto"/>
            <w:right w:val="none" w:sz="0" w:space="0" w:color="auto"/>
          </w:divBdr>
        </w:div>
        <w:div w:id="1918854589">
          <w:marLeft w:val="0"/>
          <w:marRight w:val="0"/>
          <w:marTop w:val="0"/>
          <w:marBottom w:val="0"/>
          <w:divBdr>
            <w:top w:val="none" w:sz="0" w:space="0" w:color="auto"/>
            <w:left w:val="none" w:sz="0" w:space="0" w:color="auto"/>
            <w:bottom w:val="none" w:sz="0" w:space="0" w:color="auto"/>
            <w:right w:val="none" w:sz="0" w:space="0" w:color="auto"/>
          </w:divBdr>
        </w:div>
        <w:div w:id="780801427">
          <w:marLeft w:val="0"/>
          <w:marRight w:val="0"/>
          <w:marTop w:val="0"/>
          <w:marBottom w:val="0"/>
          <w:divBdr>
            <w:top w:val="none" w:sz="0" w:space="0" w:color="auto"/>
            <w:left w:val="none" w:sz="0" w:space="0" w:color="auto"/>
            <w:bottom w:val="none" w:sz="0" w:space="0" w:color="auto"/>
            <w:right w:val="none" w:sz="0" w:space="0" w:color="auto"/>
          </w:divBdr>
        </w:div>
        <w:div w:id="920674087">
          <w:marLeft w:val="0"/>
          <w:marRight w:val="0"/>
          <w:marTop w:val="0"/>
          <w:marBottom w:val="0"/>
          <w:divBdr>
            <w:top w:val="none" w:sz="0" w:space="0" w:color="auto"/>
            <w:left w:val="none" w:sz="0" w:space="0" w:color="auto"/>
            <w:bottom w:val="none" w:sz="0" w:space="0" w:color="auto"/>
            <w:right w:val="none" w:sz="0" w:space="0" w:color="auto"/>
          </w:divBdr>
        </w:div>
        <w:div w:id="24454655">
          <w:marLeft w:val="0"/>
          <w:marRight w:val="0"/>
          <w:marTop w:val="0"/>
          <w:marBottom w:val="0"/>
          <w:divBdr>
            <w:top w:val="none" w:sz="0" w:space="0" w:color="auto"/>
            <w:left w:val="none" w:sz="0" w:space="0" w:color="auto"/>
            <w:bottom w:val="none" w:sz="0" w:space="0" w:color="auto"/>
            <w:right w:val="none" w:sz="0" w:space="0" w:color="auto"/>
          </w:divBdr>
        </w:div>
      </w:divsChild>
    </w:div>
    <w:div w:id="1385256581">
      <w:bodyDiv w:val="1"/>
      <w:marLeft w:val="0"/>
      <w:marRight w:val="0"/>
      <w:marTop w:val="0"/>
      <w:marBottom w:val="0"/>
      <w:divBdr>
        <w:top w:val="none" w:sz="0" w:space="0" w:color="auto"/>
        <w:left w:val="none" w:sz="0" w:space="0" w:color="auto"/>
        <w:bottom w:val="none" w:sz="0" w:space="0" w:color="auto"/>
        <w:right w:val="none" w:sz="0" w:space="0" w:color="auto"/>
      </w:divBdr>
    </w:div>
    <w:div w:id="192565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lnk:LEG%20PRL%2090%202001%200" TargetMode="External"/><Relationship Id="rId5" Type="http://schemas.openxmlformats.org/officeDocument/2006/relationships/hyperlink" Target="lnk:CON%20PRL%201000000%202003%20108"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Nu%20stergeti!!!\Desktop\New%20Microsoft%20Word%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Microsoft Word Document.dotx</Template>
  <TotalTime>4</TotalTime>
  <Pages>1</Pages>
  <Words>539</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FSLI</dc:creator>
  <cp:lastModifiedBy>FSLI</cp:lastModifiedBy>
  <cp:revision>3</cp:revision>
  <cp:lastPrinted>2013-02-20T12:16:00Z</cp:lastPrinted>
  <dcterms:created xsi:type="dcterms:W3CDTF">2013-12-13T08:36:00Z</dcterms:created>
  <dcterms:modified xsi:type="dcterms:W3CDTF">2013-12-13T08:40:00Z</dcterms:modified>
</cp:coreProperties>
</file>